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>Description : Décrit le niveau de soins : le plus grave est retenu pour qualifier le dossier/affaire. Pour chaque patient/victime, le motif spécifique est indiqué.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CBA05-1547-4A8F-902D-FE60F01E021B}"/>
</file>

<file path=customXml/itemProps3.xml><?xml version="1.0" encoding="utf-8"?>
<ds:datastoreItem xmlns:ds="http://schemas.openxmlformats.org/officeDocument/2006/customXml" ds:itemID="{21A3FE58-8E52-4727-9AA0-8F8EEDFA8B48}"/>
</file>

<file path=customXml/itemProps4.xml><?xml version="1.0" encoding="utf-8"?>
<ds:datastoreItem xmlns:ds="http://schemas.openxmlformats.org/officeDocument/2006/customXml" ds:itemID="{8E48926E-A3B7-4C80-A3BA-4BE80D864F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